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2A2" w:rsidRPr="00B06BFB" w:rsidRDefault="004C02A2" w:rsidP="004C02A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4C02A2">
        <w:rPr>
          <w:rFonts w:ascii="Arial" w:eastAsia="Times New Roman" w:hAnsi="Arial" w:cs="Arial"/>
          <w:sz w:val="28"/>
          <w:szCs w:val="28"/>
          <w:lang w:eastAsia="es-MX"/>
        </w:rPr>
        <w:t>DIRECCIÓN GENERAL</w:t>
      </w:r>
    </w:p>
    <w:p w:rsidR="004C02A2" w:rsidRPr="00B06BFB" w:rsidRDefault="004C02A2" w:rsidP="00B06BF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es-MX"/>
        </w:rPr>
      </w:pPr>
    </w:p>
    <w:p w:rsidR="004C02A2" w:rsidRPr="00B06BFB" w:rsidRDefault="004C02A2" w:rsidP="00B06BF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4C02A2">
        <w:rPr>
          <w:rFonts w:ascii="Arial" w:eastAsia="Times New Roman" w:hAnsi="Arial" w:cs="Arial"/>
          <w:sz w:val="28"/>
          <w:szCs w:val="28"/>
          <w:lang w:eastAsia="es-MX"/>
        </w:rPr>
        <w:t>Construir y consolidar una nueva alternativa en la televisión mexicana a través del proyecto cultural de Televisión Metropolitana S. A de C. V., que sea accesible, teniendo como principios la libertad, la pluralidad, la corresponsabilidad, el rigor profesio</w:t>
      </w:r>
      <w:bookmarkStart w:id="0" w:name="_GoBack"/>
      <w:bookmarkEnd w:id="0"/>
      <w:r w:rsidRPr="004C02A2">
        <w:rPr>
          <w:rFonts w:ascii="Arial" w:eastAsia="Times New Roman" w:hAnsi="Arial" w:cs="Arial"/>
          <w:sz w:val="28"/>
          <w:szCs w:val="28"/>
          <w:lang w:eastAsia="es-MX"/>
        </w:rPr>
        <w:t xml:space="preserve">nal y la calidad en observancia a las normas vigentes. De conformidad con lo establecido por el artículo 59 de la Ley Federal de las Entidades Paraestatales, al Director General de Televisión Metropolitana, tendrá las siguientes facultades y obligaciones: Administrar y representar legalmente a la Entidad, ejerciendo las más amplias facultades de dominio, administración, y pleitos y cobranzas, aun de aquellas que requieran de autorización especial. Podrá otorgar poderes generales y especiales con las facultades que les competan, entre ellas las que requieran autorización o cláusula especial.  Formular los programas institucionales de corto, mediano y largo plazo, así como los presupuestos de la Entidad y presentarlos para su aprobación al órgano de gobierno. </w:t>
      </w:r>
    </w:p>
    <w:p w:rsidR="0073719A" w:rsidRPr="00B06BFB" w:rsidRDefault="0073719A" w:rsidP="00B06BFB">
      <w:pPr>
        <w:jc w:val="both"/>
        <w:rPr>
          <w:sz w:val="28"/>
          <w:szCs w:val="28"/>
        </w:rPr>
      </w:pPr>
    </w:p>
    <w:sectPr w:rsidR="0073719A" w:rsidRPr="00B06BFB" w:rsidSect="00100C2D">
      <w:pgSz w:w="12242" w:h="15842" w:code="1"/>
      <w:pgMar w:top="2694" w:right="1043" w:bottom="284" w:left="1418" w:header="53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A2"/>
    <w:rsid w:val="00100C2D"/>
    <w:rsid w:val="004C02A2"/>
    <w:rsid w:val="0073719A"/>
    <w:rsid w:val="00B0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87BC8-20EC-4036-829B-894C6916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Fabiola Ortiz León</dc:creator>
  <cp:keywords/>
  <dc:description/>
  <cp:lastModifiedBy>Michelle Fabiola Ortiz León</cp:lastModifiedBy>
  <cp:revision>2</cp:revision>
  <dcterms:created xsi:type="dcterms:W3CDTF">2018-10-19T15:22:00Z</dcterms:created>
  <dcterms:modified xsi:type="dcterms:W3CDTF">2018-10-19T15:22:00Z</dcterms:modified>
</cp:coreProperties>
</file>